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0AA2" w14:textId="3DA14DDA" w:rsidR="007171B9" w:rsidRDefault="007171B9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Beszámoló</w:t>
      </w:r>
    </w:p>
    <w:p w14:paraId="62685BCD" w14:textId="77777777" w:rsidR="007171B9" w:rsidRDefault="007171B9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74667" w14:textId="26055146" w:rsidR="00CA66A1" w:rsidRPr="00CA66A1" w:rsidRDefault="007171B9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A5D1A" w:rsidRPr="007171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Katolikus e</w:t>
      </w:r>
      <w:r w:rsidR="00CA66A1" w:rsidRPr="007171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gyházi társadalom Magyarországon a 20. század első felében</w:t>
      </w:r>
    </w:p>
    <w:p w14:paraId="03BC033C" w14:textId="77777777" w:rsidR="007171B9" w:rsidRDefault="007171B9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című t</w:t>
      </w:r>
      <w:r w:rsidR="00CA66A1"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udományos </w:t>
      </w:r>
      <w:r>
        <w:rPr>
          <w:rFonts w:ascii="Times New Roman" w:hAnsi="Times New Roman" w:cs="Times New Roman"/>
          <w:color w:val="000000"/>
          <w:sz w:val="24"/>
          <w:szCs w:val="24"/>
        </w:rPr>
        <w:t>műhely</w:t>
      </w:r>
      <w:r w:rsidR="00CA66A1" w:rsidRPr="00CA66A1">
        <w:rPr>
          <w:rFonts w:ascii="Times New Roman" w:hAnsi="Times New Roman" w:cs="Times New Roman"/>
          <w:color w:val="000000"/>
          <w:sz w:val="24"/>
          <w:szCs w:val="24"/>
        </w:rPr>
        <w:t>konferenci</w:t>
      </w:r>
      <w:r>
        <w:rPr>
          <w:rFonts w:ascii="Times New Roman" w:hAnsi="Times New Roman" w:cs="Times New Roman"/>
          <w:color w:val="000000"/>
          <w:sz w:val="24"/>
          <w:szCs w:val="24"/>
        </w:rPr>
        <w:t>áról</w:t>
      </w:r>
    </w:p>
    <w:p w14:paraId="7784B1B6" w14:textId="5ED4D2B0" w:rsidR="00CA66A1" w:rsidRPr="00CA66A1" w:rsidRDefault="00CA66A1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6A1">
        <w:rPr>
          <w:rFonts w:ascii="Times New Roman" w:hAnsi="Times New Roman" w:cs="Times New Roman"/>
          <w:color w:val="000000"/>
          <w:sz w:val="24"/>
          <w:szCs w:val="24"/>
        </w:rPr>
        <w:t>Pécs, 2024. március 1.</w:t>
      </w:r>
    </w:p>
    <w:p w14:paraId="38A27A38" w14:textId="77777777" w:rsidR="00CA66A1" w:rsidRDefault="00CA66A1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66A1">
        <w:rPr>
          <w:rFonts w:ascii="Times New Roman" w:hAnsi="Times New Roman" w:cs="Times New Roman"/>
          <w:color w:val="000000"/>
          <w:sz w:val="24"/>
          <w:szCs w:val="24"/>
        </w:rPr>
        <w:t>MNL BML, Rét utca 9.</w:t>
      </w:r>
    </w:p>
    <w:p w14:paraId="4C378DC9" w14:textId="77777777" w:rsidR="00CA66A1" w:rsidRPr="00CA66A1" w:rsidRDefault="00CA66A1" w:rsidP="00CA66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73093" w14:textId="77777777" w:rsidR="007171B9" w:rsidRDefault="00CA66A1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Pécsi Egyháztörténeti Intézet 2016-ban kezdte meg 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az egyházi társadalom alakulását négy évszázados időmetszetben áttekintő konferenciák szervezését. </w:t>
      </w:r>
      <w:r w:rsidR="007171B9">
        <w:rPr>
          <w:rFonts w:ascii="Times New Roman" w:hAnsi="Times New Roman" w:cs="Times New Roman"/>
          <w:color w:val="000000"/>
          <w:sz w:val="24"/>
          <w:szCs w:val="24"/>
        </w:rPr>
        <w:t xml:space="preserve">A Nemzeti Kulturális Alap támogatásának köszönhetően a 16., 17., 18. és 19. század vizsgálata után most lehetővé vált a 20. század első felének tudományos seregszemléje és történeti csomópontjainak felderítése is. </w:t>
      </w:r>
    </w:p>
    <w:p w14:paraId="5B8C1738" w14:textId="77777777" w:rsidR="007171B9" w:rsidRDefault="007171B9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730E3" w14:textId="6B9F5BA7" w:rsidR="00CA66A1" w:rsidRDefault="00CA66A1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konferenciát nyitó projektismertetőben Dr. Csibi Norbert és Vértesi Lázár ismertette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 az azóta eltelt időben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megjelent négy kötet 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>eredménye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it. </w:t>
      </w:r>
      <w:r w:rsidR="00053ADF">
        <w:rPr>
          <w:rFonts w:ascii="Times New Roman" w:hAnsi="Times New Roman" w:cs="Times New Roman"/>
          <w:color w:val="000000"/>
          <w:sz w:val="24"/>
          <w:szCs w:val="24"/>
        </w:rPr>
        <w:t>Az előadás kitért azokra a szempontokra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3ADF">
        <w:rPr>
          <w:rFonts w:ascii="Times New Roman" w:hAnsi="Times New Roman" w:cs="Times New Roman"/>
          <w:color w:val="000000"/>
          <w:sz w:val="24"/>
          <w:szCs w:val="24"/>
        </w:rPr>
        <w:t xml:space="preserve"> amelyek megfelelő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 alapot jelent</w:t>
      </w:r>
      <w:r w:rsidR="00053ADF">
        <w:rPr>
          <w:rFonts w:ascii="Times New Roman" w:hAnsi="Times New Roman" w:cs="Times New Roman"/>
          <w:color w:val="000000"/>
          <w:sz w:val="24"/>
          <w:szCs w:val="24"/>
        </w:rPr>
        <w:t>enek a sorozat folytatásához, illetve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 a 20. századi változásoknak a történelmi „hosszú időben” való értelmezéséhez. Szá</w:t>
      </w:r>
      <w:r w:rsidR="00053ADF">
        <w:rPr>
          <w:rFonts w:ascii="Times New Roman" w:hAnsi="Times New Roman" w:cs="Times New Roman"/>
          <w:color w:val="000000"/>
          <w:sz w:val="24"/>
          <w:szCs w:val="24"/>
        </w:rPr>
        <w:t>mos szempontot figyelembe véve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 a 20. század</w:t>
      </w:r>
      <w:r w:rsidR="00053ADF">
        <w:rPr>
          <w:rFonts w:ascii="Times New Roman" w:hAnsi="Times New Roman" w:cs="Times New Roman"/>
          <w:color w:val="000000"/>
          <w:sz w:val="24"/>
          <w:szCs w:val="24"/>
        </w:rPr>
        <w:t xml:space="preserve">ot 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>két külön kötetben összeg</w:t>
      </w:r>
      <w:r w:rsidR="00053ADF">
        <w:rPr>
          <w:rFonts w:ascii="Times New Roman" w:hAnsi="Times New Roman" w:cs="Times New Roman"/>
          <w:color w:val="000000"/>
          <w:sz w:val="24"/>
          <w:szCs w:val="24"/>
        </w:rPr>
        <w:t>ezve: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 xml:space="preserve"> első körben a (rövid) 20. század első felének változásaira és jellegzetességeire koncentrálva, a tematikában (rugalmasan) igazodva a korábbi alkalmakhoz.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Mivel 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>a témával kapcsolatos kutatások jelenlegi állása nem teszi lehetővé egy koherens tanulmánykötet összeállítását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munka előkészítéséhez az egyes tematikák </w:t>
      </w:r>
      <w:r w:rsidRPr="00CA66A1">
        <w:rPr>
          <w:rFonts w:ascii="Times New Roman" w:hAnsi="Times New Roman" w:cs="Times New Roman"/>
          <w:color w:val="000000"/>
          <w:sz w:val="24"/>
          <w:szCs w:val="24"/>
        </w:rPr>
        <w:t>és módszerek átgondolása és egyeztetése szükséges.</w:t>
      </w:r>
    </w:p>
    <w:p w14:paraId="682B3846" w14:textId="77777777" w:rsidR="00323CE9" w:rsidRDefault="00323CE9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ABE07" w14:textId="77777777" w:rsidR="00053ADF" w:rsidRDefault="00053ADF" w:rsidP="00053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Ehhez elsőként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Klestenitz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Tibor </w:t>
      </w:r>
      <w:r w:rsidR="005803CC" w:rsidRPr="005803CC">
        <w:rPr>
          <w:rFonts w:ascii="Times New Roman" w:hAnsi="Times New Roman" w:cs="Times New Roman"/>
          <w:i/>
          <w:color w:val="000000"/>
          <w:sz w:val="24"/>
          <w:szCs w:val="24"/>
        </w:rPr>
        <w:t>Klérus, sajtó, nyilvánosság. Szempontok és kutatási lehetőségek</w:t>
      </w:r>
      <w:r w:rsidR="005803CC">
        <w:rPr>
          <w:rFonts w:ascii="Times New Roman" w:hAnsi="Times New Roman" w:cs="Times New Roman"/>
          <w:color w:val="000000"/>
          <w:sz w:val="24"/>
          <w:szCs w:val="24"/>
        </w:rPr>
        <w:t xml:space="preserve"> című </w:t>
      </w:r>
      <w:r>
        <w:rPr>
          <w:rFonts w:ascii="Times New Roman" w:hAnsi="Times New Roman" w:cs="Times New Roman"/>
          <w:color w:val="000000"/>
          <w:sz w:val="24"/>
          <w:szCs w:val="24"/>
        </w:rPr>
        <w:t>előadása adott szempontokat. A papképzés, a papi ideál változása és a klerikus sajtó vizsgálata alapján kifejtette, hogy az egyházi társadalom vonatkozásában történetileg sokkal inkább indokolt lenne a kutatást a 19. század végével, az 1890-es évekkel indítani.</w:t>
      </w:r>
      <w:r w:rsidRPr="00053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19. század utolsó harmadában a klerikusok társadalma mellett, az intézményes egyházi struktúrákhoz szorosan vagy lazábban kapcsolódva elkötelezett laikusok komplex hálózata jelenik meg a színen, az „egyházi társadalmat”</w:t>
      </w:r>
      <w:r w:rsidRPr="00F67C8C">
        <w:t xml:space="preserve"> </w:t>
      </w:r>
      <w:r w:rsidRPr="00F67C8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klerikusok társadalmán túl tekintve különféle, a laikusok által működtetett vagy szervezett egyesületek, intézmények és közösségek hálózataként, kommunikációs közösségként közelíthetjük meg. A református, evangélikus és ortodox egyházak vonatkozó jellegzetességeit pedig az általános és az egyedi jellegzetességek azonosításához hívhatjuk segítségül.</w:t>
      </w:r>
    </w:p>
    <w:p w14:paraId="65F90242" w14:textId="77777777" w:rsidR="00323CE9" w:rsidRDefault="00323CE9" w:rsidP="00053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89783" w14:textId="7231F28E" w:rsidR="004A3AE5" w:rsidRDefault="005803CC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Dr. Bánkuti Gábor </w:t>
      </w:r>
      <w:r>
        <w:rPr>
          <w:rFonts w:ascii="Times New Roman" w:hAnsi="Times New Roman" w:cs="Times New Roman"/>
          <w:color w:val="000000"/>
          <w:sz w:val="24"/>
          <w:szCs w:val="24"/>
        </w:rPr>
        <w:t>előadásában (</w:t>
      </w:r>
      <w:r w:rsidRPr="005803CC">
        <w:rPr>
          <w:rFonts w:ascii="Times New Roman" w:hAnsi="Times New Roman" w:cs="Times New Roman"/>
          <w:i/>
          <w:color w:val="000000"/>
          <w:sz w:val="24"/>
          <w:szCs w:val="24"/>
        </w:rPr>
        <w:t>A 20. századi egyházi társadalom kutatásának kihívásai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korabeli egyházi társadalom lehetséges értelmezési kereteinek meghatározására fogalmazott meg javaslatokat. </w:t>
      </w:r>
      <w:proofErr w:type="spellStart"/>
      <w:r w:rsidRPr="005803CC">
        <w:rPr>
          <w:rFonts w:ascii="Times New Roman" w:hAnsi="Times New Roman" w:cs="Times New Roman"/>
          <w:color w:val="000000"/>
          <w:sz w:val="24"/>
          <w:szCs w:val="24"/>
        </w:rPr>
        <w:t>Bourdieu</w:t>
      </w:r>
      <w:proofErr w:type="spellEnd"/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 habitus modell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 értelem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t>ben a szubjektum nem szabadon cselekvő, hanem társadalmilag már megformált. És bár e bensővé vált habitus nem determinál teljesen, de vezérli a cselekvést, kijelölve a</w:t>
      </w:r>
      <w:r w:rsidR="002A5D1A">
        <w:rPr>
          <w:rFonts w:ascii="Times New Roman" w:hAnsi="Times New Roman" w:cs="Times New Roman"/>
          <w:color w:val="000000"/>
          <w:sz w:val="24"/>
          <w:szCs w:val="24"/>
        </w:rPr>
        <w:t>nnak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 lehetséges határait. Azaz jellemző praxisformákat állít elő. A habitusra a praxisból következtethetünk, amelyeket írásban rögzített észlelések illusztrálnak. Ezek végrehajtása hozza létre a struktúrát, amely tehát nem önmagában létező, hanem viszony(lat)okban, viszonyulásokban fejeződik 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Mindez az egyházi társadalom vizsgálatához is érvényes szempontokat kínál, figyelembe véve a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egyház intézményi heterogenitását, 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t xml:space="preserve">amely meghatározza az egyházon kívüli tényezőkkel, szereplőkkel </w:t>
      </w:r>
      <w:r w:rsidRPr="005803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(társadalom, állam) való interakciót, mozgásteret, cselekvési képességet is. Ez a megközelítés lehetővé teszi, hogy a „működést” vizsgálva hálózatként tekintsünk az egyházra, amelynek szereplői egymással lazább-szorosabb kapcsolatban állnak. </w:t>
      </w:r>
    </w:p>
    <w:p w14:paraId="3C3947E5" w14:textId="77777777" w:rsidR="004A3AE5" w:rsidRDefault="004A3AE5" w:rsidP="00F67C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7E4B8" w14:textId="6E3E1135" w:rsidR="00CD4A64" w:rsidRPr="00323CE9" w:rsidRDefault="006B3CF7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A bevezető előadásokhoz kapcsolódott a konferencia két kerekasztal-beszélgetése. </w:t>
      </w:r>
      <w:r w:rsidRPr="00323CE9">
        <w:rPr>
          <w:rFonts w:ascii="Times New Roman" w:hAnsi="Times New Roman" w:cs="Times New Roman"/>
          <w:i/>
          <w:color w:val="000000"/>
          <w:sz w:val="24"/>
          <w:szCs w:val="24"/>
        </w:rPr>
        <w:t>Az egyházi társadalom meghatározásának fogalmi nehézségeiről és kutatási tapasztalatairól Magyarországon, a 20. század első felében</w:t>
      </w:r>
      <w:r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 című (résztvevők: Dr. Bánkuti Gábor, Dr. </w:t>
      </w:r>
      <w:proofErr w:type="spellStart"/>
      <w:r w:rsidRPr="00323CE9">
        <w:rPr>
          <w:rFonts w:ascii="Times New Roman" w:hAnsi="Times New Roman" w:cs="Times New Roman"/>
          <w:color w:val="000000"/>
          <w:sz w:val="24"/>
          <w:szCs w:val="24"/>
        </w:rPr>
        <w:t>Petrás</w:t>
      </w:r>
      <w:proofErr w:type="spellEnd"/>
      <w:r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 Éva, Dr. Gárdonyi Máté. Moderál: Vértesi Lázár) a kontextus azonosításával indult. </w:t>
      </w:r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Az I. </w:t>
      </w:r>
      <w:r w:rsidR="002A5D1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ilágháború alatt a frontvonalak mögött zajló élet küzdelmei, az értékek és normák jól kitapintható átrendeződése, az egyre nyilvánvalóbb </w:t>
      </w:r>
      <w:proofErr w:type="spellStart"/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>anómia</w:t>
      </w:r>
      <w:proofErr w:type="spellEnd"/>
      <w:r w:rsidR="00FA6D82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>legalábbis az események ilyen értékelése</w:t>
      </w:r>
      <w:r w:rsidR="00FA6D82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, majd a „hétköznapi erőszak” megjelenése olyan tapasztalatot eredményezett, melynek mintázata a háborút követő események egyházi értékelését és viszonyulásait is meghatározta: a krízist, illetve az összeomlást magyarázó diagnózis </w:t>
      </w:r>
      <w:proofErr w:type="spellStart"/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>instrumentalizálta</w:t>
      </w:r>
      <w:proofErr w:type="spellEnd"/>
      <w:r w:rsidR="00117760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 a hazai egyházat. Az első világháborús összeomlást követő „polgári” majd bolsevik forradalmak bukása után a berendezkedő politikai rendszer, önmagát „ellenforradalmi”, „keresztény–nemzeti–konzervatív” karakterűnek határozta meg. A Horthy-korszakban az egyházak, kiváltképp a katolikusok, jelentős közéleti szerepet vállaltak és néhány – elsősorban a „szociális kérdést” érintő kritikától eltekintve – összességében intenzív szerepet vállaltak a rendszer eszmei alátámasztásában. Az államhatalom és az egyházak az élet számos területén szorosan együttműködve és egymásra utalva működtek. E szerep különösen az oktatás és a társadalomszervezés területén volt meghatározó, összhangban az oktatás- és társadalompolitika irányelveit meghatározó korabe</w:t>
      </w:r>
      <w:r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li keresztény </w:t>
      </w:r>
      <w:proofErr w:type="spellStart"/>
      <w:r w:rsidRPr="00323CE9">
        <w:rPr>
          <w:rFonts w:ascii="Times New Roman" w:hAnsi="Times New Roman" w:cs="Times New Roman"/>
          <w:color w:val="000000"/>
          <w:sz w:val="24"/>
          <w:szCs w:val="24"/>
        </w:rPr>
        <w:t>kultúreszménnyel</w:t>
      </w:r>
      <w:proofErr w:type="spellEnd"/>
      <w:r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4A64" w:rsidRPr="00323CE9">
        <w:rPr>
          <w:rFonts w:ascii="Times New Roman" w:hAnsi="Times New Roman" w:cs="Times New Roman"/>
          <w:color w:val="000000"/>
          <w:sz w:val="24"/>
          <w:szCs w:val="24"/>
        </w:rPr>
        <w:t xml:space="preserve">E számos tényező által formált közeg egy intézményileg jól felszerelt, jól működő társadalmi szervezetekkel, ígéretes papi-szerzetesi korfával rendelkező, aktív egyházat eredményezett. Az alapvetően </w:t>
      </w:r>
      <w:r w:rsidR="00CD4A64" w:rsidRPr="00323CE9">
        <w:rPr>
          <w:rFonts w:ascii="Times New Roman" w:hAnsi="Times New Roman" w:cs="Times New Roman"/>
          <w:sz w:val="24"/>
          <w:szCs w:val="24"/>
        </w:rPr>
        <w:t xml:space="preserve">paternalista, „klerikális” attitűddel jellemezhető </w:t>
      </w:r>
      <w:r w:rsidR="00CD4A64" w:rsidRPr="00323CE9">
        <w:rPr>
          <w:rFonts w:ascii="Times New Roman" w:hAnsi="Times New Roman" w:cs="Times New Roman"/>
          <w:color w:val="000000"/>
          <w:sz w:val="24"/>
          <w:szCs w:val="24"/>
        </w:rPr>
        <w:t>egyházi tevékenység társadalmi kereteit egy szolgáltató-szerződéses viszony határozta meg, amely az állammal szemben nem kényszerült konfrontatív pozícióra és ezzel összefüggésben a helyi társadalommal való partneri – egyenrangú, kölcsönös és önkéntes kisegítésen nyugvó – viszonyra sem. Mindez, az egyház társadalomszervező szerepével kapcsolatos kérdések egész sorát veti föl:</w:t>
      </w:r>
    </w:p>
    <w:p w14:paraId="045E6075" w14:textId="77777777" w:rsidR="00CD4A64" w:rsidRDefault="00CD4A64" w:rsidP="00CD4A64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Úgy, mint pl.:</w:t>
      </w:r>
    </w:p>
    <w:p w14:paraId="33A7147D" w14:textId="77777777" w:rsidR="00CD4A64" w:rsidRDefault="00CD4A64" w:rsidP="00CD4A64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„alulról” jövő szerveződések lehetőségei és szerepe</w:t>
      </w:r>
    </w:p>
    <w:p w14:paraId="2BC9CACA" w14:textId="77777777" w:rsidR="00CD4A64" w:rsidRDefault="00CD4A64" w:rsidP="00CD4A64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plébániai és egyházmegyei léptékű kezdeményezések jellegzetességei</w:t>
      </w:r>
    </w:p>
    <w:p w14:paraId="777576E1" w14:textId="77777777" w:rsidR="00CD4A64" w:rsidRDefault="00CD4A64" w:rsidP="00CD4A64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 klérus által kezdeményezett és koordinált szerveződések lehetőségei és szerepe (különös tekintettel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Catholica-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05E8B39" w14:textId="77777777" w:rsidR="00CD4A64" w:rsidRDefault="00CD4A64" w:rsidP="00CD4A64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vallásbuzgalmi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jellegű szerveződések társadalmi jelentősége és hatása</w:t>
      </w:r>
    </w:p>
    <w:p w14:paraId="761002B7" w14:textId="77777777" w:rsidR="00CD4A64" w:rsidRDefault="00CD4A64" w:rsidP="00CD4A64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szociális és/vagy politikai programmal fellépő szerveződések egyházi szempontból is (ön)reflektív szerepe</w:t>
      </w:r>
    </w:p>
    <w:p w14:paraId="5F450DCE" w14:textId="77777777" w:rsidR="00FA6D82" w:rsidRDefault="006B3CF7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4A64">
        <w:rPr>
          <w:rFonts w:ascii="Times New Roman" w:hAnsi="Times New Roman" w:cs="Times New Roman"/>
          <w:color w:val="000000"/>
          <w:sz w:val="24"/>
          <w:szCs w:val="24"/>
        </w:rPr>
        <w:t>z áthagyományozott viselkedésminták és társadalmi adottságok miatt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cezúra meghatározása mégsem lehet steril</w:t>
      </w:r>
      <w:r w:rsidR="00CD4A64">
        <w:rPr>
          <w:rFonts w:ascii="Times New Roman" w:hAnsi="Times New Roman" w:cs="Times New Roman"/>
          <w:color w:val="000000"/>
          <w:sz w:val="24"/>
          <w:szCs w:val="24"/>
        </w:rPr>
        <w:t xml:space="preserve"> (1914–1945)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résztvevők relevánsnak ismerték el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Klestenitz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Tibor által javasolt tágabb vizsgálati időkört. Az eszmecsere végére a záró évszám is módosult: társadalomtörténeti szempontból az 1890-es évektől az 1960-as évekig indokolt kiterjeszteni a kutatást és meghatározni a tematikákat.</w:t>
      </w:r>
    </w:p>
    <w:p w14:paraId="772F8441" w14:textId="77777777" w:rsidR="00323CE9" w:rsidRDefault="00323CE9" w:rsidP="00323C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1AB72" w14:textId="77777777" w:rsidR="00C304B0" w:rsidRPr="00323CE9" w:rsidRDefault="00CD4A64" w:rsidP="00CD4A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 w:rsidRPr="00CD4A64">
        <w:rPr>
          <w:rFonts w:ascii="Times New Roman" w:hAnsi="Times New Roman" w:cs="Times New Roman"/>
          <w:color w:val="000000"/>
          <w:sz w:val="24"/>
          <w:szCs w:val="24"/>
        </w:rPr>
        <w:t xml:space="preserve">z egyházi társadalom kutatásának forrásadottságairól Magyarországon a 20. század első felében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szóló kerekasztal </w:t>
      </w:r>
      <w:r w:rsidRPr="00CD4A64">
        <w:rPr>
          <w:rFonts w:ascii="Times New Roman" w:hAnsi="Times New Roman" w:cs="Times New Roman"/>
          <w:color w:val="000000"/>
          <w:sz w:val="24"/>
          <w:szCs w:val="24"/>
        </w:rPr>
        <w:t xml:space="preserve">(résztvevők: Dr. Lakatos Andor, Dr. </w:t>
      </w:r>
      <w:proofErr w:type="spellStart"/>
      <w:r w:rsidRPr="00CD4A64">
        <w:rPr>
          <w:rFonts w:ascii="Times New Roman" w:hAnsi="Times New Roman" w:cs="Times New Roman"/>
          <w:color w:val="000000"/>
          <w:sz w:val="24"/>
          <w:szCs w:val="24"/>
        </w:rPr>
        <w:t>Siptár</w:t>
      </w:r>
      <w:proofErr w:type="spellEnd"/>
      <w:r w:rsidRPr="00CD4A64">
        <w:rPr>
          <w:rFonts w:ascii="Times New Roman" w:hAnsi="Times New Roman" w:cs="Times New Roman"/>
          <w:color w:val="000000"/>
          <w:sz w:val="24"/>
          <w:szCs w:val="24"/>
        </w:rPr>
        <w:t xml:space="preserve"> Dániel, Dr. Balogh Margit. Moderál: Dr. </w:t>
      </w:r>
      <w:proofErr w:type="spellStart"/>
      <w:r w:rsidRPr="00CD4A64">
        <w:rPr>
          <w:rFonts w:ascii="Times New Roman" w:hAnsi="Times New Roman" w:cs="Times New Roman"/>
          <w:color w:val="000000"/>
          <w:sz w:val="24"/>
          <w:szCs w:val="24"/>
        </w:rPr>
        <w:t>Gőzsy</w:t>
      </w:r>
      <w:proofErr w:type="spellEnd"/>
      <w:r w:rsidRPr="00CD4A64">
        <w:rPr>
          <w:rFonts w:ascii="Times New Roman" w:hAnsi="Times New Roman" w:cs="Times New Roman"/>
          <w:color w:val="000000"/>
          <w:sz w:val="24"/>
          <w:szCs w:val="24"/>
        </w:rPr>
        <w:t xml:space="preserve"> Zoltán)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mindezt a forrásadottságok ismeretében tekintette át. </w:t>
      </w:r>
      <w:r w:rsidR="00C304B0" w:rsidRPr="00323CE9">
        <w:rPr>
          <w:rFonts w:ascii="Times New Roman" w:hAnsi="Times New Roman" w:cs="Times New Roman"/>
          <w:sz w:val="24"/>
          <w:szCs w:val="24"/>
        </w:rPr>
        <w:t>A vizsgálat léptékei</w:t>
      </w:r>
      <w:r w:rsidRPr="00323CE9">
        <w:rPr>
          <w:rFonts w:ascii="Times New Roman" w:hAnsi="Times New Roman" w:cs="Times New Roman"/>
          <w:sz w:val="24"/>
          <w:szCs w:val="24"/>
        </w:rPr>
        <w:t xml:space="preserve"> e tekintetben adottak</w:t>
      </w:r>
      <w:r w:rsidR="00C304B0" w:rsidRPr="00323CE9">
        <w:rPr>
          <w:rFonts w:ascii="Times New Roman" w:hAnsi="Times New Roman" w:cs="Times New Roman"/>
          <w:sz w:val="24"/>
          <w:szCs w:val="24"/>
        </w:rPr>
        <w:t>:</w:t>
      </w:r>
    </w:p>
    <w:p w14:paraId="764B1BBD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04B0">
        <w:rPr>
          <w:rFonts w:ascii="Times New Roman" w:hAnsi="Times New Roman" w:cs="Times New Roman"/>
          <w:sz w:val="24"/>
          <w:szCs w:val="24"/>
        </w:rPr>
        <w:t>plébánia</w:t>
      </w:r>
    </w:p>
    <w:p w14:paraId="3A740E15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egyházmegye</w:t>
      </w:r>
    </w:p>
    <w:p w14:paraId="114D0F2D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szerzetesrendek</w:t>
      </w:r>
    </w:p>
    <w:p w14:paraId="544BF921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egyesületi élet</w:t>
      </w:r>
    </w:p>
    <w:p w14:paraId="01A14148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főpapság</w:t>
      </w:r>
    </w:p>
    <w:p w14:paraId="225215EA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klérus és a laikusok interakciója</w:t>
      </w:r>
    </w:p>
    <w:p w14:paraId="421F72AC" w14:textId="77777777" w:rsidR="00C304B0" w:rsidRDefault="00C304B0" w:rsidP="00C304B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akciók, kultúraszervezés</w:t>
      </w:r>
    </w:p>
    <w:p w14:paraId="4B7F0C75" w14:textId="77777777" w:rsidR="00323CE9" w:rsidRPr="00323CE9" w:rsidRDefault="00CD4A64" w:rsidP="00323CE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intézményi heterogenitás szem előtt tartása pedig lehetővé teszi az egyes tematikák elrendezését. Kutatói „fehér foltként” merült föl a statisztikai megalapozás igénye, különösen vidéki </w:t>
      </w:r>
      <w:proofErr w:type="spellStart"/>
      <w:r>
        <w:rPr>
          <w:rFonts w:ascii="Times New Roman" w:hAnsi="Times New Roman" w:cs="Times New Roman"/>
          <w:sz w:val="24"/>
          <w:szCs w:val="24"/>
        </w:rPr>
        <w:t>fíliák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alapítása és működtetése területén. Az egyház elit fogalmi meghatározása szintén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újragondolandó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ehhez </w:t>
      </w:r>
      <w:r w:rsidR="00323CE9">
        <w:rPr>
          <w:rFonts w:ascii="Times New Roman" w:hAnsi="Times New Roman" w:cs="Times New Roman"/>
          <w:sz w:val="24"/>
          <w:szCs w:val="24"/>
        </w:rPr>
        <w:t xml:space="preserve">kiindulópontot ad Gergely Jenő: </w:t>
      </w:r>
      <w:r w:rsidR="00323CE9" w:rsidRPr="00323CE9">
        <w:rPr>
          <w:rFonts w:ascii="Times New Roman" w:hAnsi="Times New Roman" w:cs="Times New Roman"/>
          <w:sz w:val="24"/>
          <w:szCs w:val="24"/>
        </w:rPr>
        <w:t>A katolikus egyházi elit a századforduló</w:t>
      </w:r>
      <w:r w:rsidR="00323CE9">
        <w:rPr>
          <w:rFonts w:ascii="Times New Roman" w:hAnsi="Times New Roman" w:cs="Times New Roman"/>
          <w:sz w:val="24"/>
          <w:szCs w:val="24"/>
        </w:rPr>
        <w:t>n címmel publikált kutatása. A m</w:t>
      </w:r>
      <w:r w:rsidR="00323CE9" w:rsidRPr="00323CE9">
        <w:rPr>
          <w:rFonts w:ascii="Times New Roman" w:hAnsi="Times New Roman" w:cs="Times New Roman"/>
          <w:sz w:val="24"/>
          <w:szCs w:val="24"/>
        </w:rPr>
        <w:t>egyéspüspökök tevékenysége elsősorban a kötelező/általános feladatokra koncentrálva az 1917-es CIC-</w:t>
      </w:r>
      <w:proofErr w:type="spellStart"/>
      <w:r w:rsidR="00323CE9">
        <w:rPr>
          <w:rFonts w:ascii="Times New Roman" w:hAnsi="Times New Roman" w:cs="Times New Roman"/>
          <w:sz w:val="24"/>
          <w:szCs w:val="24"/>
        </w:rPr>
        <w:t>b</w:t>
      </w:r>
      <w:r w:rsidR="00323CE9" w:rsidRPr="00323CE9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="00323CE9" w:rsidRPr="00323CE9">
        <w:rPr>
          <w:rFonts w:ascii="Times New Roman" w:hAnsi="Times New Roman" w:cs="Times New Roman"/>
          <w:sz w:val="24"/>
          <w:szCs w:val="24"/>
        </w:rPr>
        <w:t xml:space="preserve"> kiindulva, illetve az egyházmegye kormányzása témában az egyházmegyei körlevelekre támaszkodva</w:t>
      </w:r>
      <w:r w:rsidR="00323CE9">
        <w:rPr>
          <w:rFonts w:ascii="Times New Roman" w:hAnsi="Times New Roman" w:cs="Times New Roman"/>
          <w:sz w:val="24"/>
          <w:szCs w:val="24"/>
        </w:rPr>
        <w:t xml:space="preserve"> elemezhető. Kutatandó a </w:t>
      </w:r>
      <w:r w:rsidR="00323CE9" w:rsidRPr="00323CE9">
        <w:rPr>
          <w:rFonts w:ascii="Times New Roman" w:hAnsi="Times New Roman" w:cs="Times New Roman"/>
          <w:sz w:val="24"/>
          <w:szCs w:val="24"/>
        </w:rPr>
        <w:t xml:space="preserve">káptalanok szerepe (pl. püspök-káptalan </w:t>
      </w:r>
      <w:proofErr w:type="spellStart"/>
      <w:r w:rsidR="00323CE9" w:rsidRPr="00323CE9">
        <w:rPr>
          <w:rFonts w:ascii="Times New Roman" w:hAnsi="Times New Roman" w:cs="Times New Roman"/>
          <w:sz w:val="24"/>
          <w:szCs w:val="24"/>
        </w:rPr>
        <w:t>ellentéte</w:t>
      </w:r>
      <w:proofErr w:type="spellEnd"/>
      <w:r w:rsidR="00323CE9" w:rsidRPr="00323CE9">
        <w:rPr>
          <w:rFonts w:ascii="Times New Roman" w:hAnsi="Times New Roman" w:cs="Times New Roman"/>
          <w:sz w:val="24"/>
          <w:szCs w:val="24"/>
        </w:rPr>
        <w:t xml:space="preserve"> Székesfehérvár és Szombathely esetében, a speciális stallumok (mint pl. nagyváradi irodalmi stallum) funkciója</w:t>
      </w:r>
      <w:r w:rsidR="00323CE9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323CE9" w:rsidRPr="00323CE9">
        <w:rPr>
          <w:rFonts w:ascii="Times New Roman" w:hAnsi="Times New Roman" w:cs="Times New Roman"/>
          <w:sz w:val="24"/>
          <w:szCs w:val="24"/>
        </w:rPr>
        <w:t>papképzés megújí</w:t>
      </w:r>
      <w:r w:rsidR="00323CE9">
        <w:rPr>
          <w:rFonts w:ascii="Times New Roman" w:hAnsi="Times New Roman" w:cs="Times New Roman"/>
          <w:sz w:val="24"/>
          <w:szCs w:val="24"/>
        </w:rPr>
        <w:t xml:space="preserve">tására irányuló törekvések, </w:t>
      </w:r>
      <w:r w:rsidR="00323CE9" w:rsidRPr="00323CE9">
        <w:rPr>
          <w:rFonts w:ascii="Times New Roman" w:hAnsi="Times New Roman" w:cs="Times New Roman"/>
          <w:sz w:val="24"/>
          <w:szCs w:val="24"/>
        </w:rPr>
        <w:t>Prohászka</w:t>
      </w:r>
      <w:r w:rsidR="00323CE9">
        <w:rPr>
          <w:rFonts w:ascii="Times New Roman" w:hAnsi="Times New Roman" w:cs="Times New Roman"/>
          <w:sz w:val="24"/>
          <w:szCs w:val="24"/>
        </w:rPr>
        <w:t>,</w:t>
      </w:r>
      <w:r w:rsidR="00323CE9" w:rsidRPr="0032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CE9" w:rsidRPr="00323CE9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 w:rsidR="00323CE9" w:rsidRPr="00323CE9">
        <w:rPr>
          <w:rFonts w:ascii="Times New Roman" w:hAnsi="Times New Roman" w:cs="Times New Roman"/>
          <w:sz w:val="24"/>
          <w:szCs w:val="24"/>
        </w:rPr>
        <w:t xml:space="preserve"> és más elöljárók írásai, illetve a szemináriumi tananyag változásai alapján</w:t>
      </w:r>
      <w:r w:rsidR="00323C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DD019" w14:textId="77777777" w:rsidR="00323CE9" w:rsidRDefault="00323CE9" w:rsidP="00323CE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F548FF" w14:textId="77777777" w:rsidR="00C304B0" w:rsidRDefault="00323CE9" w:rsidP="00323CE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kérdések, reflexiók során a résztvevők további újabb lehetőségekre hívták föl a figyelmet. Úgy mint, </w:t>
      </w:r>
      <w:r w:rsidRPr="00323CE9">
        <w:rPr>
          <w:rFonts w:ascii="Times New Roman" w:hAnsi="Times New Roman" w:cs="Times New Roman"/>
          <w:sz w:val="24"/>
          <w:szCs w:val="24"/>
        </w:rPr>
        <w:t>a papi élet / a lelkipásztorkodás / a katolikus hívek problémáiról a pap</w:t>
      </w:r>
      <w:r>
        <w:rPr>
          <w:rFonts w:ascii="Times New Roman" w:hAnsi="Times New Roman" w:cs="Times New Roman"/>
          <w:sz w:val="24"/>
          <w:szCs w:val="24"/>
        </w:rPr>
        <w:t xml:space="preserve">i koronák jegyzőkönyvei alapján; </w:t>
      </w:r>
      <w:r w:rsidRPr="00323CE9">
        <w:rPr>
          <w:rFonts w:ascii="Times New Roman" w:hAnsi="Times New Roman" w:cs="Times New Roman"/>
          <w:sz w:val="24"/>
          <w:szCs w:val="24"/>
        </w:rPr>
        <w:t>a fővárosi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E9">
        <w:rPr>
          <w:rFonts w:ascii="Times New Roman" w:hAnsi="Times New Roman" w:cs="Times New Roman"/>
          <w:sz w:val="24"/>
          <w:szCs w:val="24"/>
        </w:rPr>
        <w:t xml:space="preserve">papság tevékenységének speciális vonásai fővárosi papok – pl. </w:t>
      </w:r>
      <w:proofErr w:type="spellStart"/>
      <w:r w:rsidRPr="00323CE9">
        <w:rPr>
          <w:rFonts w:ascii="Times New Roman" w:hAnsi="Times New Roman" w:cs="Times New Roman"/>
          <w:sz w:val="24"/>
          <w:szCs w:val="24"/>
        </w:rPr>
        <w:t>regnumiak</w:t>
      </w:r>
      <w:proofErr w:type="spellEnd"/>
      <w:r w:rsidRPr="00323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CE9">
        <w:rPr>
          <w:rFonts w:ascii="Times New Roman" w:hAnsi="Times New Roman" w:cs="Times New Roman"/>
          <w:sz w:val="24"/>
          <w:szCs w:val="24"/>
        </w:rPr>
        <w:t>Mihalovics</w:t>
      </w:r>
      <w:proofErr w:type="spellEnd"/>
      <w:r w:rsidRPr="00323CE9">
        <w:rPr>
          <w:rFonts w:ascii="Times New Roman" w:hAnsi="Times New Roman" w:cs="Times New Roman"/>
          <w:sz w:val="24"/>
          <w:szCs w:val="24"/>
        </w:rPr>
        <w:t xml:space="preserve"> Zsigmond – írásai alapján</w:t>
      </w:r>
      <w:r>
        <w:rPr>
          <w:rFonts w:ascii="Times New Roman" w:hAnsi="Times New Roman" w:cs="Times New Roman"/>
          <w:sz w:val="24"/>
          <w:szCs w:val="24"/>
        </w:rPr>
        <w:t xml:space="preserve">; a </w:t>
      </w:r>
      <w:r w:rsidRPr="00323CE9">
        <w:rPr>
          <w:rFonts w:ascii="Times New Roman" w:hAnsi="Times New Roman" w:cs="Times New Roman"/>
          <w:sz w:val="24"/>
          <w:szCs w:val="24"/>
        </w:rPr>
        <w:t>katolikus világi elit szerepe az egyház életben (katolikus nagygyűlések, kegyuraság, AC)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E000E" w14:textId="77777777" w:rsidR="00323CE9" w:rsidRPr="00C304B0" w:rsidRDefault="00323CE9" w:rsidP="00323CE9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54F361" w14:textId="77777777" w:rsidR="00A6148D" w:rsidRPr="00C304B0" w:rsidRDefault="00C304B0">
      <w:pPr>
        <w:rPr>
          <w:rFonts w:ascii="Times New Roman" w:hAnsi="Times New Roman" w:cs="Times New Roman"/>
          <w:sz w:val="24"/>
          <w:szCs w:val="24"/>
        </w:rPr>
      </w:pPr>
      <w:r w:rsidRPr="00C304B0">
        <w:rPr>
          <w:rFonts w:ascii="Times New Roman" w:hAnsi="Times New Roman" w:cs="Times New Roman"/>
          <w:sz w:val="24"/>
          <w:szCs w:val="24"/>
        </w:rPr>
        <w:t xml:space="preserve">Pécs, 2024. </w:t>
      </w:r>
      <w:r w:rsidR="00323CE9">
        <w:rPr>
          <w:rFonts w:ascii="Times New Roman" w:hAnsi="Times New Roman" w:cs="Times New Roman"/>
          <w:sz w:val="24"/>
          <w:szCs w:val="24"/>
        </w:rPr>
        <w:t>március 5</w:t>
      </w:r>
      <w:r w:rsidRPr="00C304B0">
        <w:rPr>
          <w:rFonts w:ascii="Times New Roman" w:hAnsi="Times New Roman" w:cs="Times New Roman"/>
          <w:sz w:val="24"/>
          <w:szCs w:val="24"/>
        </w:rPr>
        <w:t>.</w:t>
      </w:r>
    </w:p>
    <w:sectPr w:rsidR="00A6148D" w:rsidRPr="00C3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2F76" w14:textId="77777777" w:rsidR="00BC6C0D" w:rsidRDefault="00BC6C0D" w:rsidP="005A3A5D">
      <w:pPr>
        <w:spacing w:after="0" w:line="240" w:lineRule="auto"/>
      </w:pPr>
      <w:r>
        <w:separator/>
      </w:r>
    </w:p>
  </w:endnote>
  <w:endnote w:type="continuationSeparator" w:id="0">
    <w:p w14:paraId="14B0F6CD" w14:textId="77777777" w:rsidR="00BC6C0D" w:rsidRDefault="00BC6C0D" w:rsidP="005A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8A75" w14:textId="77777777" w:rsidR="00BC6C0D" w:rsidRDefault="00BC6C0D" w:rsidP="005A3A5D">
      <w:pPr>
        <w:spacing w:after="0" w:line="240" w:lineRule="auto"/>
      </w:pPr>
      <w:r>
        <w:separator/>
      </w:r>
    </w:p>
  </w:footnote>
  <w:footnote w:type="continuationSeparator" w:id="0">
    <w:p w14:paraId="79D54CB7" w14:textId="77777777" w:rsidR="00BC6C0D" w:rsidRDefault="00BC6C0D" w:rsidP="005A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751A"/>
    <w:multiLevelType w:val="hybridMultilevel"/>
    <w:tmpl w:val="989ACE28"/>
    <w:lvl w:ilvl="0" w:tplc="CFD49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96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60"/>
    <w:rsid w:val="00053ADF"/>
    <w:rsid w:val="00117760"/>
    <w:rsid w:val="002A5D1A"/>
    <w:rsid w:val="00323CE9"/>
    <w:rsid w:val="00403325"/>
    <w:rsid w:val="004A3AE5"/>
    <w:rsid w:val="005803CC"/>
    <w:rsid w:val="005A3A5D"/>
    <w:rsid w:val="006B3CF7"/>
    <w:rsid w:val="007171B9"/>
    <w:rsid w:val="008C05E3"/>
    <w:rsid w:val="00A455A6"/>
    <w:rsid w:val="00A6148D"/>
    <w:rsid w:val="00BC6C0D"/>
    <w:rsid w:val="00C063D3"/>
    <w:rsid w:val="00C304B0"/>
    <w:rsid w:val="00CA66A1"/>
    <w:rsid w:val="00CD4A64"/>
    <w:rsid w:val="00CE18BD"/>
    <w:rsid w:val="00CF0514"/>
    <w:rsid w:val="00F67C8C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0C2"/>
  <w15:chartTrackingRefBased/>
  <w15:docId w15:val="{37C0B99C-2C63-4F40-AB4F-0704EC65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D8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3A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3A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3A5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A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3F1A-2D36-4DFF-909C-BC251E43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1045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</dc:creator>
  <cp:keywords/>
  <dc:description/>
  <cp:lastModifiedBy>Vértesi Lázár</cp:lastModifiedBy>
  <cp:revision>4</cp:revision>
  <dcterms:created xsi:type="dcterms:W3CDTF">2024-04-30T08:22:00Z</dcterms:created>
  <dcterms:modified xsi:type="dcterms:W3CDTF">2024-05-08T09:48:00Z</dcterms:modified>
</cp:coreProperties>
</file>