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9. sz. melléklet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A 8001/1999. IM tájékoztató mellékletében felsorolt országok állampolgárai végezhetnek kutatást személyes adatot tartalmazó levéltári iratanyagban (amennyiben a Magyar Tudományos Akadémia valamely kutatóintézetének támogatói állásfoglalásával rendelkeznek).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Ausztria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Belgium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Bulgária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Ciprus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Csehország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Dánia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Egyesült Királyság (Anglia, Észak-Írország, Skócia, Wales)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Észtország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Finnország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Franciaország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Görögország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Hollandia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Horvátország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Írország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Izland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Lengyelország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Lettország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Liechtenstein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Litvánia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Luxemburg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Magyarország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Málta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Németország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Norvégia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Olaszország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Portugália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Románia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Spanyolország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Svédország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Szlovákia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Szlovénia</w:t>
      </w: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</w:p>
    <w:p w:rsidR="00C3239C" w:rsidRDefault="00C3239C" w:rsidP="00C3239C">
      <w:pPr>
        <w:tabs>
          <w:tab w:val="center" w:pos="7088"/>
        </w:tabs>
        <w:spacing w:after="0"/>
        <w:contextualSpacing/>
        <w:rPr>
          <w:lang w:eastAsia="hu-HU"/>
        </w:rPr>
      </w:pPr>
      <w:r>
        <w:rPr>
          <w:lang w:eastAsia="hu-HU"/>
        </w:rPr>
        <w:t>Más országok állampolgárai személyes adatot tartalmazó levéltári iratot csak anonimizált másolattal kutathatnak.</w:t>
      </w:r>
    </w:p>
    <w:p w:rsidR="00A84F7C" w:rsidRPr="00580BC2" w:rsidRDefault="00A84F7C" w:rsidP="009E0873">
      <w:pPr>
        <w:tabs>
          <w:tab w:val="center" w:pos="7088"/>
        </w:tabs>
        <w:spacing w:after="0"/>
        <w:contextualSpacing/>
        <w:rPr>
          <w:lang w:eastAsia="hu-HU"/>
        </w:rPr>
      </w:pPr>
      <w:bookmarkStart w:id="0" w:name="_GoBack"/>
      <w:bookmarkEnd w:id="0"/>
    </w:p>
    <w:sectPr w:rsidR="00A84F7C" w:rsidRPr="00580B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75" w:rsidRDefault="00B27C75" w:rsidP="00DF50C9">
      <w:pPr>
        <w:spacing w:after="0" w:line="240" w:lineRule="auto"/>
      </w:pPr>
      <w:r>
        <w:separator/>
      </w:r>
    </w:p>
  </w:endnote>
  <w:endnote w:type="continuationSeparator" w:id="0">
    <w:p w:rsidR="00B27C75" w:rsidRDefault="00B27C75" w:rsidP="00DF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75" w:rsidRDefault="00B27C75" w:rsidP="00DF50C9">
      <w:pPr>
        <w:spacing w:after="0" w:line="240" w:lineRule="auto"/>
      </w:pPr>
      <w:r>
        <w:separator/>
      </w:r>
    </w:p>
  </w:footnote>
  <w:footnote w:type="continuationSeparator" w:id="0">
    <w:p w:rsidR="00B27C75" w:rsidRDefault="00B27C75" w:rsidP="00DF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C9" w:rsidRDefault="00DF50C9">
    <w:pPr>
      <w:pStyle w:val="lfej"/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</w:pPr>
    <w:r w:rsidRPr="00A25DE9">
      <w:rPr>
        <w:noProof/>
        <w:sz w:val="48"/>
        <w:lang w:eastAsia="hu-HU"/>
      </w:rPr>
      <w:drawing>
        <wp:anchor distT="0" distB="0" distL="114300" distR="114300" simplePos="0" relativeHeight="251659264" behindDoc="1" locked="0" layoutInCell="1" allowOverlap="1" wp14:anchorId="6BC509CE" wp14:editId="011622B2">
          <wp:simplePos x="0" y="0"/>
          <wp:positionH relativeFrom="column">
            <wp:posOffset>4162425</wp:posOffset>
          </wp:positionH>
          <wp:positionV relativeFrom="paragraph">
            <wp:posOffset>-267335</wp:posOffset>
          </wp:positionV>
          <wp:extent cx="1835785" cy="611505"/>
          <wp:effectExtent l="19050" t="0" r="0" b="0"/>
          <wp:wrapTight wrapText="bothSides">
            <wp:wrapPolygon edited="0">
              <wp:start x="-224" y="0"/>
              <wp:lineTo x="-224" y="20860"/>
              <wp:lineTo x="21518" y="20860"/>
              <wp:lineTo x="21518" y="0"/>
              <wp:lineTo x="-224" y="0"/>
            </wp:wrapPolygon>
          </wp:wrapTight>
          <wp:docPr id="3" name="Kép 1" descr="archivum-logo-fekv_-color-M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um-logo-fekv_-color-MN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50C9"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  <w:t>A MAGYAR NEMZETI LEVÉLTÁR</w:t>
    </w:r>
  </w:p>
  <w:p w:rsidR="00DF50C9" w:rsidRPr="00DF50C9" w:rsidRDefault="00DF50C9" w:rsidP="00DF50C9">
    <w:pPr>
      <w:pStyle w:val="Cm"/>
      <w:jc w:val="left"/>
      <w:rPr>
        <w:b/>
        <w:i/>
        <w:sz w:val="20"/>
        <w:szCs w:val="16"/>
      </w:rPr>
    </w:pPr>
    <w:r w:rsidRPr="00DF50C9">
      <w:rPr>
        <w:rStyle w:val="Cmsor1Char"/>
        <w:rFonts w:eastAsiaTheme="majorEastAsia"/>
        <w:b w:val="0"/>
        <w:i w:val="0"/>
        <w:sz w:val="20"/>
        <w:szCs w:val="16"/>
      </w:rPr>
      <w:t>KUTATÁSI SZABÁLYZATA Mellékletek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C9"/>
    <w:rsid w:val="002E5721"/>
    <w:rsid w:val="004E1804"/>
    <w:rsid w:val="00580BC2"/>
    <w:rsid w:val="005F032B"/>
    <w:rsid w:val="009E0873"/>
    <w:rsid w:val="00A84F7C"/>
    <w:rsid w:val="00B27C75"/>
    <w:rsid w:val="00BF0135"/>
    <w:rsid w:val="00C3239C"/>
    <w:rsid w:val="00DB01A4"/>
    <w:rsid w:val="00DF50C9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2E0CDC-80E2-4294-BCF5-B66780D3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50C9"/>
    <w:pPr>
      <w:spacing w:after="200" w:line="276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Cmsor2"/>
    <w:next w:val="Norml"/>
    <w:link w:val="Cmsor1Char"/>
    <w:uiPriority w:val="9"/>
    <w:qFormat/>
    <w:rsid w:val="00DF50C9"/>
    <w:pPr>
      <w:keepNext w:val="0"/>
      <w:keepLines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5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80B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ellekletCime">
    <w:name w:val="Melleklet Cime"/>
    <w:basedOn w:val="Norml"/>
    <w:link w:val="MellekletCimeChar"/>
    <w:qFormat/>
    <w:rsid w:val="00DF50C9"/>
    <w:pPr>
      <w:spacing w:before="380" w:after="240" w:line="288" w:lineRule="auto"/>
      <w:contextualSpacing/>
      <w:jc w:val="center"/>
    </w:pPr>
    <w:rPr>
      <w:b/>
      <w:bCs/>
      <w:smallCaps/>
      <w:sz w:val="26"/>
      <w:szCs w:val="26"/>
      <w:lang w:eastAsia="hu-HU"/>
    </w:rPr>
  </w:style>
  <w:style w:type="character" w:customStyle="1" w:styleId="MellekletCimeChar">
    <w:name w:val="Melleklet Cime Char"/>
    <w:basedOn w:val="Bekezdsalapbettpusa"/>
    <w:link w:val="MellekletCime"/>
    <w:rsid w:val="00DF50C9"/>
    <w:rPr>
      <w:rFonts w:ascii="Times New Roman" w:hAnsi="Times New Roman" w:cs="Times New Roman"/>
      <w:b/>
      <w:bCs/>
      <w:smallCap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0C9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0C9"/>
    <w:rPr>
      <w:rFonts w:ascii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DF50C9"/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5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DF50C9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F50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80B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dzet">
    <w:name w:val="Quote"/>
    <w:basedOn w:val="Norml"/>
    <w:next w:val="Norml"/>
    <w:link w:val="IdzetChar"/>
    <w:uiPriority w:val="29"/>
    <w:qFormat/>
    <w:rsid w:val="00580BC2"/>
    <w:pPr>
      <w:spacing w:after="40" w:line="192" w:lineRule="auto"/>
    </w:pPr>
    <w:rPr>
      <w:iCs/>
      <w:color w:val="000000" w:themeColor="text1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580BC2"/>
    <w:rPr>
      <w:rFonts w:ascii="Times New Roman" w:hAnsi="Times New Roman" w:cs="Times New Roman"/>
      <w:iCs/>
      <w:color w:val="000000" w:themeColor="text1"/>
      <w:sz w:val="18"/>
      <w:szCs w:val="18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F97843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97843"/>
    <w:rPr>
      <w:rFonts w:ascii="Times New Roman" w:hAnsi="Times New Roman" w:cs="Times New Roman"/>
    </w:rPr>
  </w:style>
  <w:style w:type="character" w:styleId="Finomhivatkozs">
    <w:name w:val="Subtle Reference"/>
    <w:basedOn w:val="Bekezdsalapbettpusa"/>
    <w:uiPriority w:val="31"/>
    <w:qFormat/>
    <w:rsid w:val="00F97843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04543-B0E8-4636-8FEF-C9026854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Boglárka</dc:creator>
  <cp:keywords/>
  <dc:description/>
  <cp:lastModifiedBy>Kovács Boglárka</cp:lastModifiedBy>
  <cp:revision>2</cp:revision>
  <dcterms:created xsi:type="dcterms:W3CDTF">2017-01-09T11:01:00Z</dcterms:created>
  <dcterms:modified xsi:type="dcterms:W3CDTF">2017-01-09T11:01:00Z</dcterms:modified>
</cp:coreProperties>
</file>